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0000000000002" w:top="1440.0000000000002" w:left="1440.0000000000002" w:right="1440.0000000000002" w:header="720" w:footer="720"/>
          <w:pgNumType w:start="1"/>
        </w:sectPr>
      </w:pPr>
      <w:bookmarkStart w:colFirst="0" w:colLast="0" w:name="_m3tj9rhxv9sy"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PyME</w:t>
      </w:r>
      <w:r w:rsidDel="00000000" w:rsidR="00000000" w:rsidRPr="00000000">
        <w:rPr>
          <w:rtl w:val="0"/>
        </w:rPr>
      </w:r>
    </w:p>
    <w:p w:rsidR="00000000" w:rsidDel="00000000" w:rsidP="00000000" w:rsidRDefault="00000000" w:rsidRPr="00000000" w14:paraId="00000002">
      <w:pPr>
        <w:numPr>
          <w:ilvl w:val="0"/>
          <w:numId w:val="1"/>
        </w:numPr>
        <w:ind w:left="720" w:hanging="360"/>
        <w:jc w:val="both"/>
      </w:pPr>
      <w:r w:rsidDel="00000000" w:rsidR="00000000" w:rsidRPr="00000000">
        <w:rPr>
          <w:rtl w:val="0"/>
        </w:rPr>
        <w:t xml:space="preserve">Biblioteca digital: Ok.</w:t>
      </w:r>
    </w:p>
    <w:p w:rsidR="00000000" w:rsidDel="00000000" w:rsidP="00000000" w:rsidRDefault="00000000" w:rsidRPr="00000000" w14:paraId="00000003">
      <w:pPr>
        <w:numPr>
          <w:ilvl w:val="0"/>
          <w:numId w:val="1"/>
        </w:numPr>
        <w:ind w:left="720" w:hanging="360"/>
        <w:jc w:val="both"/>
      </w:pPr>
      <w:r w:rsidDel="00000000" w:rsidR="00000000" w:rsidRPr="00000000">
        <w:rPr>
          <w:rtl w:val="0"/>
        </w:rPr>
        <w:t xml:space="preserve">Persona física con garantía:</w:t>
      </w:r>
    </w:p>
    <w:p w:rsidR="00000000" w:rsidDel="00000000" w:rsidP="00000000" w:rsidRDefault="00000000" w:rsidRPr="00000000" w14:paraId="00000004">
      <w:pPr>
        <w:numPr>
          <w:ilvl w:val="1"/>
          <w:numId w:val="1"/>
        </w:numPr>
        <w:ind w:left="1440" w:hanging="360"/>
        <w:jc w:val="both"/>
      </w:pPr>
      <w:r w:rsidDel="00000000" w:rsidR="00000000" w:rsidRPr="00000000">
        <w:rPr>
          <w:rtl w:val="0"/>
        </w:rPr>
        <w:t xml:space="preserve">Número de exp. 63. De ventas no puedo enviar a avalúo a operaciones, me marca el siguiente error:</w:t>
      </w:r>
    </w:p>
    <w:p w:rsidR="00000000" w:rsidDel="00000000" w:rsidP="00000000" w:rsidRDefault="00000000" w:rsidRPr="00000000" w14:paraId="00000005">
      <w:pPr>
        <w:jc w:val="both"/>
        <w:rPr/>
      </w:pPr>
      <w:r w:rsidDel="00000000" w:rsidR="00000000" w:rsidRPr="00000000">
        <w:rPr/>
        <w:drawing>
          <wp:inline distB="114300" distT="114300" distL="114300" distR="114300">
            <wp:extent cx="5659510" cy="2601088"/>
            <wp:effectExtent b="0" l="0" r="0" t="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659510" cy="260108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pPr>
      <w:r w:rsidDel="00000000" w:rsidR="00000000" w:rsidRPr="00000000">
        <w:rPr>
          <w:rtl w:val="0"/>
        </w:rPr>
        <w:t xml:space="preserve">Persona física sin garantía:</w:t>
        <w:tab/>
      </w:r>
    </w:p>
    <w:p w:rsidR="00000000" w:rsidDel="00000000" w:rsidP="00000000" w:rsidRDefault="00000000" w:rsidRPr="00000000" w14:paraId="00000008">
      <w:pPr>
        <w:numPr>
          <w:ilvl w:val="1"/>
          <w:numId w:val="1"/>
        </w:numPr>
        <w:ind w:left="1440" w:hanging="360"/>
        <w:jc w:val="both"/>
      </w:pPr>
      <w:r w:rsidDel="00000000" w:rsidR="00000000" w:rsidRPr="00000000">
        <w:rPr>
          <w:rtl w:val="0"/>
        </w:rPr>
        <w:t xml:space="preserve">Número de exp. 64. No se puede avanzar de la etapa “formalizado” del lado de ventas, no hay ningún botón para enviar a cobro o para que Finanzas reciba la documentación.</w:t>
      </w:r>
    </w:p>
    <w:p w:rsidR="00000000" w:rsidDel="00000000" w:rsidP="00000000" w:rsidRDefault="00000000" w:rsidRPr="00000000" w14:paraId="00000009">
      <w:pPr>
        <w:ind w:left="1440" w:firstLine="0"/>
        <w:jc w:val="both"/>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pPr>
      <w:r w:rsidDel="00000000" w:rsidR="00000000" w:rsidRPr="00000000">
        <w:rPr>
          <w:rtl w:val="0"/>
        </w:rPr>
        <w:t xml:space="preserve">Persona moral con garantía:</w:t>
      </w:r>
    </w:p>
    <w:p w:rsidR="00000000" w:rsidDel="00000000" w:rsidP="00000000" w:rsidRDefault="00000000" w:rsidRPr="00000000" w14:paraId="0000000B">
      <w:pPr>
        <w:numPr>
          <w:ilvl w:val="1"/>
          <w:numId w:val="1"/>
        </w:numPr>
        <w:ind w:left="1440" w:hanging="360"/>
        <w:jc w:val="both"/>
      </w:pPr>
      <w:r w:rsidDel="00000000" w:rsidR="00000000" w:rsidRPr="00000000">
        <w:rPr>
          <w:rtl w:val="0"/>
        </w:rPr>
        <w:t xml:space="preserve">Número de exp. 65. Mismo error que el inciso 2</w:t>
      </w:r>
    </w:p>
    <w:p w:rsidR="00000000" w:rsidDel="00000000" w:rsidP="00000000" w:rsidRDefault="00000000" w:rsidRPr="00000000" w14:paraId="0000000C">
      <w:pPr>
        <w:jc w:val="both"/>
        <w:rPr/>
      </w:pPr>
      <w:r w:rsidDel="00000000" w:rsidR="00000000" w:rsidRPr="00000000">
        <w:rPr/>
        <w:drawing>
          <wp:inline distB="114300" distT="114300" distL="114300" distR="114300">
            <wp:extent cx="5943600" cy="25146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25146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pPr>
      <w:r w:rsidDel="00000000" w:rsidR="00000000" w:rsidRPr="00000000">
        <w:rPr>
          <w:rtl w:val="0"/>
        </w:rPr>
        <w:t xml:space="preserve">Persona moral sin garantía: </w:t>
      </w:r>
    </w:p>
    <w:p w:rsidR="00000000" w:rsidDel="00000000" w:rsidP="00000000" w:rsidRDefault="00000000" w:rsidRPr="00000000" w14:paraId="00000012">
      <w:pPr>
        <w:numPr>
          <w:ilvl w:val="1"/>
          <w:numId w:val="1"/>
        </w:numPr>
        <w:ind w:left="1440" w:hanging="360"/>
        <w:jc w:val="both"/>
      </w:pPr>
      <w:r w:rsidDel="00000000" w:rsidR="00000000" w:rsidRPr="00000000">
        <w:rPr>
          <w:rtl w:val="0"/>
        </w:rPr>
        <w:t xml:space="preserve">Número de exp. 66. No se puede avanzar de la etapa “formalizado” del lado de ventas, no hay ningún botón para enviar a cobro o para que Finanzas reciba la documentación.</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numPr>
          <w:ilvl w:val="0"/>
          <w:numId w:val="1"/>
        </w:numPr>
        <w:ind w:left="720" w:hanging="360"/>
        <w:jc w:val="both"/>
      </w:pPr>
      <w:r w:rsidDel="00000000" w:rsidR="00000000" w:rsidRPr="00000000">
        <w:rPr>
          <w:rtl w:val="0"/>
        </w:rPr>
        <w:t xml:space="preserve">Campus virtual: Ok.</w:t>
      </w:r>
    </w:p>
    <w:p w:rsidR="00000000" w:rsidDel="00000000" w:rsidP="00000000" w:rsidRDefault="00000000" w:rsidRPr="00000000" w14:paraId="00000015">
      <w:pPr>
        <w:numPr>
          <w:ilvl w:val="0"/>
          <w:numId w:val="1"/>
        </w:numPr>
        <w:ind w:left="720" w:hanging="360"/>
        <w:jc w:val="both"/>
      </w:pPr>
      <w:r w:rsidDel="00000000" w:rsidR="00000000" w:rsidRPr="00000000">
        <w:rPr>
          <w:rtl w:val="0"/>
        </w:rPr>
        <w:t xml:space="preserve">Promociones: Ok.</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sectPr>
          <w:type w:val="nextPage"/>
          <w:pgSz w:h="15840" w:w="12240" w:orient="portrait"/>
          <w:pgMar w:bottom="1440.0000000000002" w:top="1440.0000000000002" w:left="1440.0000000000002" w:right="1440.0000000000002" w:header="720" w:footer="720"/>
          <w:pgNumType w:start="1"/>
        </w:sectPr>
      </w:pPr>
      <w:r w:rsidDel="00000000" w:rsidR="00000000" w:rsidRPr="00000000">
        <w:rPr>
          <w:rtl w:val="0"/>
        </w:rPr>
      </w:r>
    </w:p>
    <w:p w:rsidR="00000000" w:rsidDel="00000000" w:rsidP="00000000" w:rsidRDefault="00000000" w:rsidRPr="00000000" w14:paraId="00000018">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0000000000002" w:top="1440.0000000000002" w:left="1440.0000000000002" w:right="1440.0000000000002" w:header="720" w:footer="720"/>
          <w:pgNumType w:start="1"/>
        </w:sectPr>
      </w:pPr>
      <w:bookmarkStart w:colFirst="0" w:colLast="0" w:name="_o0yyl3rnmx5x"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Hipotecario</w:t>
      </w:r>
      <w:r w:rsidDel="00000000" w:rsidR="00000000" w:rsidRPr="00000000">
        <w:rPr>
          <w:rtl w:val="0"/>
        </w:rPr>
      </w:r>
    </w:p>
    <w:p w:rsidR="00000000" w:rsidDel="00000000" w:rsidP="00000000" w:rsidRDefault="00000000" w:rsidRPr="00000000" w14:paraId="00000019">
      <w:pPr>
        <w:numPr>
          <w:ilvl w:val="0"/>
          <w:numId w:val="2"/>
        </w:numPr>
        <w:ind w:left="720" w:hanging="360"/>
        <w:jc w:val="both"/>
      </w:pPr>
      <w:r w:rsidDel="00000000" w:rsidR="00000000" w:rsidRPr="00000000">
        <w:rPr>
          <w:rtl w:val="0"/>
        </w:rPr>
        <w:t xml:space="preserve">Biblioteca digital: Ok.</w:t>
      </w:r>
    </w:p>
    <w:p w:rsidR="00000000" w:rsidDel="00000000" w:rsidP="00000000" w:rsidRDefault="00000000" w:rsidRPr="00000000" w14:paraId="0000001A">
      <w:pPr>
        <w:numPr>
          <w:ilvl w:val="0"/>
          <w:numId w:val="2"/>
        </w:numPr>
        <w:ind w:left="720" w:hanging="360"/>
        <w:jc w:val="both"/>
      </w:pPr>
      <w:r w:rsidDel="00000000" w:rsidR="00000000" w:rsidRPr="00000000">
        <w:rPr>
          <w:rtl w:val="0"/>
        </w:rPr>
        <w:t xml:space="preserve">Crear expediente para autorización:.</w:t>
      </w:r>
    </w:p>
    <w:p w:rsidR="00000000" w:rsidDel="00000000" w:rsidP="00000000" w:rsidRDefault="00000000" w:rsidRPr="00000000" w14:paraId="0000001B">
      <w:pPr>
        <w:numPr>
          <w:ilvl w:val="1"/>
          <w:numId w:val="2"/>
        </w:numPr>
        <w:ind w:left="1440" w:hanging="360"/>
        <w:jc w:val="both"/>
      </w:pPr>
      <w:r w:rsidDel="00000000" w:rsidR="00000000" w:rsidRPr="00000000">
        <w:rPr>
          <w:rtl w:val="0"/>
        </w:rPr>
        <w:t xml:space="preserve">Se debe agregar la búsqueda de los expedientes por el Folio de la Institución Financiera, funciona igual que con el SISO actual. Quien usa ese folio y quien lo carga son los usuarios con perfil de “Operaciones”.</w:t>
      </w:r>
    </w:p>
    <w:p w:rsidR="00000000" w:rsidDel="00000000" w:rsidP="00000000" w:rsidRDefault="00000000" w:rsidRPr="00000000" w14:paraId="0000001C">
      <w:pPr>
        <w:ind w:left="1440" w:firstLine="0"/>
        <w:jc w:val="both"/>
        <w:rPr/>
      </w:pPr>
      <w:r w:rsidDel="00000000" w:rsidR="00000000" w:rsidRPr="00000000">
        <w:rPr>
          <w:rtl w:val="0"/>
        </w:rPr>
        <w:t xml:space="preserve">La prueba se realizó con el expediente número 68</w:t>
      </w:r>
    </w:p>
    <w:p w:rsidR="00000000" w:rsidDel="00000000" w:rsidP="00000000" w:rsidRDefault="00000000" w:rsidRPr="00000000" w14:paraId="0000001D">
      <w:pPr>
        <w:numPr>
          <w:ilvl w:val="1"/>
          <w:numId w:val="2"/>
        </w:numPr>
        <w:ind w:left="1440" w:hanging="360"/>
        <w:jc w:val="both"/>
      </w:pPr>
      <w:r w:rsidDel="00000000" w:rsidR="00000000" w:rsidRPr="00000000">
        <w:rPr>
          <w:rtl w:val="0"/>
        </w:rPr>
        <w:t xml:space="preserve">Autorización: Ok.</w:t>
      </w:r>
    </w:p>
    <w:p w:rsidR="00000000" w:rsidDel="00000000" w:rsidP="00000000" w:rsidRDefault="00000000" w:rsidRPr="00000000" w14:paraId="0000001E">
      <w:pPr>
        <w:numPr>
          <w:ilvl w:val="1"/>
          <w:numId w:val="2"/>
        </w:numPr>
        <w:ind w:left="1440" w:hanging="360"/>
        <w:jc w:val="both"/>
      </w:pPr>
      <w:r w:rsidDel="00000000" w:rsidR="00000000" w:rsidRPr="00000000">
        <w:rPr>
          <w:rtl w:val="0"/>
        </w:rPr>
        <w:t xml:space="preserve">Avalúo:</w:t>
      </w:r>
    </w:p>
    <w:p w:rsidR="00000000" w:rsidDel="00000000" w:rsidP="00000000" w:rsidRDefault="00000000" w:rsidRPr="00000000" w14:paraId="0000001F">
      <w:pPr>
        <w:numPr>
          <w:ilvl w:val="2"/>
          <w:numId w:val="2"/>
        </w:numPr>
        <w:ind w:left="2160" w:hanging="360"/>
        <w:jc w:val="both"/>
      </w:pPr>
      <w:r w:rsidDel="00000000" w:rsidR="00000000" w:rsidRPr="00000000">
        <w:rPr>
          <w:rtl w:val="0"/>
        </w:rPr>
        <w:t xml:space="preserve">Los únicos datos que debe capturar “Ventas” son:  Valor del Inmueble, Tipo de Inmueble y Antigüedad.</w:t>
      </w:r>
    </w:p>
    <w:p w:rsidR="00000000" w:rsidDel="00000000" w:rsidP="00000000" w:rsidRDefault="00000000" w:rsidRPr="00000000" w14:paraId="00000020">
      <w:pPr>
        <w:ind w:left="2160" w:firstLine="0"/>
        <w:jc w:val="both"/>
        <w:rPr/>
      </w:pPr>
      <w:r w:rsidDel="00000000" w:rsidR="00000000" w:rsidRPr="00000000">
        <w:rPr>
          <w:rtl w:val="0"/>
        </w:rPr>
        <w:t xml:space="preserve">El recuadro “Fecha Valuador”, que no entiendo porqué se llama así, lo llena “Operaciones” cuando tienen la fecha de visita por parte del valuador al inmueble. Esto lo hacemos para evitar que regresen el expediente a “Ventas” y mientras se esté avisando la fecha del avalúo.</w:t>
      </w:r>
    </w:p>
    <w:p w:rsidR="00000000" w:rsidDel="00000000" w:rsidP="00000000" w:rsidRDefault="00000000" w:rsidRPr="00000000" w14:paraId="00000021">
      <w:pPr>
        <w:jc w:val="both"/>
        <w:rPr/>
      </w:pPr>
      <w:r w:rsidDel="00000000" w:rsidR="00000000" w:rsidRPr="00000000">
        <w:rPr/>
        <w:drawing>
          <wp:inline distB="114300" distT="114300" distL="114300" distR="114300">
            <wp:extent cx="5943600" cy="28702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numPr>
          <w:ilvl w:val="1"/>
          <w:numId w:val="2"/>
        </w:numPr>
        <w:ind w:left="1440" w:hanging="360"/>
        <w:jc w:val="both"/>
      </w:pPr>
      <w:r w:rsidDel="00000000" w:rsidR="00000000" w:rsidRPr="00000000">
        <w:rPr>
          <w:rtl w:val="0"/>
        </w:rPr>
        <w:t xml:space="preserve">En la etapa de Instrucción, cambié mi usuario y lo puse con perfil de Asociado y sí me dejó poner respuesta cuando estaba en análisis. Esa respuesta sólo la debe poner operaciones.</w:t>
      </w:r>
    </w:p>
    <w:p w:rsidR="00000000" w:rsidDel="00000000" w:rsidP="00000000" w:rsidRDefault="00000000" w:rsidRPr="00000000" w14:paraId="00000023">
      <w:pPr>
        <w:numPr>
          <w:ilvl w:val="1"/>
          <w:numId w:val="2"/>
        </w:numPr>
        <w:ind w:left="1440" w:hanging="360"/>
        <w:jc w:val="both"/>
      </w:pPr>
      <w:r w:rsidDel="00000000" w:rsidR="00000000" w:rsidRPr="00000000">
        <w:rPr>
          <w:rtl w:val="0"/>
        </w:rPr>
        <w:t xml:space="preserve">Formalización: El sistema permite enviar el expediente a “Coordinación de Finanzas” a pesar de no cargar documentos.</w:t>
      </w:r>
    </w:p>
    <w:p w:rsidR="00000000" w:rsidDel="00000000" w:rsidP="00000000" w:rsidRDefault="00000000" w:rsidRPr="00000000" w14:paraId="00000024">
      <w:pPr>
        <w:numPr>
          <w:ilvl w:val="0"/>
          <w:numId w:val="2"/>
        </w:numPr>
        <w:ind w:left="720" w:hanging="360"/>
        <w:jc w:val="both"/>
      </w:pPr>
      <w:r w:rsidDel="00000000" w:rsidR="00000000" w:rsidRPr="00000000">
        <w:rPr>
          <w:rtl w:val="0"/>
        </w:rPr>
        <w:t xml:space="preserve">Crear expediente para verificación de documentos:</w:t>
      </w:r>
    </w:p>
    <w:p w:rsidR="00000000" w:rsidDel="00000000" w:rsidP="00000000" w:rsidRDefault="00000000" w:rsidRPr="00000000" w14:paraId="00000025">
      <w:pPr>
        <w:ind w:left="720" w:firstLine="0"/>
        <w:jc w:val="both"/>
        <w:rPr/>
      </w:pPr>
      <w:r w:rsidDel="00000000" w:rsidR="00000000" w:rsidRPr="00000000">
        <w:rPr>
          <w:rtl w:val="0"/>
        </w:rPr>
        <w:t xml:space="preserve">Se crearon varios expedientes de la mayoría de bancos que están en el catálogo, van los comentarios por banco:</w:t>
      </w:r>
    </w:p>
    <w:p w:rsidR="00000000" w:rsidDel="00000000" w:rsidP="00000000" w:rsidRDefault="00000000" w:rsidRPr="00000000" w14:paraId="00000026">
      <w:pPr>
        <w:numPr>
          <w:ilvl w:val="1"/>
          <w:numId w:val="2"/>
        </w:numPr>
        <w:ind w:left="1440" w:hanging="360"/>
        <w:jc w:val="both"/>
      </w:pPr>
      <w:r w:rsidDel="00000000" w:rsidR="00000000" w:rsidRPr="00000000">
        <w:rPr>
          <w:rtl w:val="0"/>
        </w:rPr>
        <w:t xml:space="preserve">Afirme: Con el perfil “Coordinación de Finanzas” cuando llega el expediente para aprobarlo pasa lo siguiente:</w:t>
      </w:r>
    </w:p>
    <w:p w:rsidR="00000000" w:rsidDel="00000000" w:rsidP="00000000" w:rsidRDefault="00000000" w:rsidRPr="00000000" w14:paraId="00000027">
      <w:pPr>
        <w:numPr>
          <w:ilvl w:val="2"/>
          <w:numId w:val="2"/>
        </w:numPr>
        <w:ind w:left="2160" w:hanging="360"/>
        <w:jc w:val="both"/>
      </w:pPr>
      <w:r w:rsidDel="00000000" w:rsidR="00000000" w:rsidRPr="00000000">
        <w:rPr>
          <w:rtl w:val="0"/>
        </w:rPr>
        <w:t xml:space="preserve">No se puede descargar o ver la documentación que envió “Ventas”.</w:t>
      </w:r>
    </w:p>
    <w:p w:rsidR="00000000" w:rsidDel="00000000" w:rsidP="00000000" w:rsidRDefault="00000000" w:rsidRPr="00000000" w14:paraId="00000028">
      <w:pPr>
        <w:numPr>
          <w:ilvl w:val="2"/>
          <w:numId w:val="2"/>
        </w:numPr>
        <w:ind w:left="2160" w:hanging="360"/>
        <w:jc w:val="both"/>
      </w:pPr>
      <w:r w:rsidDel="00000000" w:rsidR="00000000" w:rsidRPr="00000000">
        <w:rPr>
          <w:rtl w:val="0"/>
        </w:rPr>
        <w:t xml:space="preserve">Los recuadros del monto del crédito y fecha de firma están vacíos, cuando sí llenaron debidamente con el usuario de “Ventas”:</w:t>
      </w:r>
    </w:p>
    <w:p w:rsidR="00000000" w:rsidDel="00000000" w:rsidP="00000000" w:rsidRDefault="00000000" w:rsidRPr="00000000" w14:paraId="00000029">
      <w:pPr>
        <w:jc w:val="both"/>
        <w:rPr/>
      </w:pPr>
      <w:r w:rsidDel="00000000" w:rsidR="00000000" w:rsidRPr="00000000">
        <w:rPr/>
        <w:drawing>
          <wp:inline distB="114300" distT="114300" distL="114300" distR="114300">
            <wp:extent cx="5943600" cy="248920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numPr>
          <w:ilvl w:val="1"/>
          <w:numId w:val="2"/>
        </w:numPr>
        <w:ind w:left="1440" w:hanging="360"/>
        <w:jc w:val="both"/>
      </w:pPr>
      <w:r w:rsidDel="00000000" w:rsidR="00000000" w:rsidRPr="00000000">
        <w:rPr>
          <w:rtl w:val="0"/>
        </w:rPr>
        <w:t xml:space="preserve">Banorte: Con el perfil “Coordinación de Finanzas” cuando llega el expediente para aprobarlo pasa lo siguiente:</w:t>
      </w:r>
    </w:p>
    <w:p w:rsidR="00000000" w:rsidDel="00000000" w:rsidP="00000000" w:rsidRDefault="00000000" w:rsidRPr="00000000" w14:paraId="0000002B">
      <w:pPr>
        <w:numPr>
          <w:ilvl w:val="2"/>
          <w:numId w:val="2"/>
        </w:numPr>
        <w:ind w:left="2160" w:hanging="360"/>
        <w:jc w:val="both"/>
      </w:pPr>
      <w:r w:rsidDel="00000000" w:rsidR="00000000" w:rsidRPr="00000000">
        <w:rPr>
          <w:rtl w:val="0"/>
        </w:rPr>
        <w:t xml:space="preserve">No se puede descargar o ver la documentación que envió “Ventas”.</w:t>
      </w:r>
    </w:p>
    <w:p w:rsidR="00000000" w:rsidDel="00000000" w:rsidP="00000000" w:rsidRDefault="00000000" w:rsidRPr="00000000" w14:paraId="0000002C">
      <w:pPr>
        <w:numPr>
          <w:ilvl w:val="2"/>
          <w:numId w:val="2"/>
        </w:numPr>
        <w:ind w:left="2160" w:hanging="360"/>
        <w:jc w:val="both"/>
      </w:pPr>
      <w:r w:rsidDel="00000000" w:rsidR="00000000" w:rsidRPr="00000000">
        <w:rPr>
          <w:rtl w:val="0"/>
        </w:rPr>
        <w:t xml:space="preserve">El recuadro de fecha de firma está vacío, cuando sí se llenó debidamente con el usuario de “Ventas”:</w:t>
      </w:r>
    </w:p>
    <w:p w:rsidR="00000000" w:rsidDel="00000000" w:rsidP="00000000" w:rsidRDefault="00000000" w:rsidRPr="00000000" w14:paraId="0000002D">
      <w:pPr>
        <w:numPr>
          <w:ilvl w:val="2"/>
          <w:numId w:val="2"/>
        </w:numPr>
        <w:ind w:left="2160" w:hanging="360"/>
        <w:jc w:val="both"/>
      </w:pPr>
      <w:r w:rsidDel="00000000" w:rsidR="00000000" w:rsidRPr="00000000">
        <w:rPr>
          <w:rtl w:val="0"/>
        </w:rPr>
        <w:t xml:space="preserve">La información que necesitamos se lea de la carátula es la siguiente:</w:t>
      </w:r>
    </w:p>
    <w:p w:rsidR="00000000" w:rsidDel="00000000" w:rsidP="00000000" w:rsidRDefault="00000000" w:rsidRPr="00000000" w14:paraId="0000002E">
      <w:pPr>
        <w:numPr>
          <w:ilvl w:val="3"/>
          <w:numId w:val="2"/>
        </w:numPr>
        <w:ind w:left="2880" w:hanging="360"/>
        <w:jc w:val="both"/>
      </w:pPr>
      <w:r w:rsidDel="00000000" w:rsidR="00000000" w:rsidRPr="00000000">
        <w:rPr>
          <w:rtl w:val="0"/>
        </w:rPr>
        <w:t xml:space="preserve">Número de asesor, completo el número incluyendo la letra</w:t>
      </w:r>
    </w:p>
    <w:p w:rsidR="00000000" w:rsidDel="00000000" w:rsidP="00000000" w:rsidRDefault="00000000" w:rsidRPr="00000000" w14:paraId="0000002F">
      <w:pPr>
        <w:numPr>
          <w:ilvl w:val="3"/>
          <w:numId w:val="2"/>
        </w:numPr>
        <w:ind w:left="2880" w:hanging="360"/>
        <w:jc w:val="both"/>
      </w:pPr>
      <w:r w:rsidDel="00000000" w:rsidR="00000000" w:rsidRPr="00000000">
        <w:rPr>
          <w:rtl w:val="0"/>
        </w:rPr>
        <w:t xml:space="preserve">Asesor: Es el nombre del asesor</w:t>
      </w:r>
    </w:p>
    <w:p w:rsidR="00000000" w:rsidDel="00000000" w:rsidP="00000000" w:rsidRDefault="00000000" w:rsidRPr="00000000" w14:paraId="00000030">
      <w:pPr>
        <w:numPr>
          <w:ilvl w:val="3"/>
          <w:numId w:val="2"/>
        </w:numPr>
        <w:ind w:left="2880" w:hanging="360"/>
        <w:jc w:val="both"/>
      </w:pPr>
      <w:r w:rsidDel="00000000" w:rsidR="00000000" w:rsidRPr="00000000">
        <w:rPr>
          <w:rtl w:val="0"/>
        </w:rPr>
        <w:t xml:space="preserve">Oficia: El nombre completo de la oficina</w:t>
      </w:r>
    </w:p>
    <w:p w:rsidR="00000000" w:rsidDel="00000000" w:rsidP="00000000" w:rsidRDefault="00000000" w:rsidRPr="00000000" w14:paraId="00000031">
      <w:pPr>
        <w:numPr>
          <w:ilvl w:val="3"/>
          <w:numId w:val="2"/>
        </w:numPr>
        <w:ind w:left="2880" w:hanging="360"/>
        <w:jc w:val="both"/>
      </w:pPr>
      <w:r w:rsidDel="00000000" w:rsidR="00000000" w:rsidRPr="00000000">
        <w:rPr>
          <w:rtl w:val="0"/>
        </w:rPr>
        <w:t xml:space="preserve">Entidad Federativa</w:t>
      </w:r>
    </w:p>
    <w:p w:rsidR="00000000" w:rsidDel="00000000" w:rsidP="00000000" w:rsidRDefault="00000000" w:rsidRPr="00000000" w14:paraId="00000032">
      <w:pPr>
        <w:ind w:left="2880" w:firstLine="0"/>
        <w:jc w:val="both"/>
        <w:rPr/>
      </w:pPr>
      <w:r w:rsidDel="00000000" w:rsidR="00000000" w:rsidRPr="00000000">
        <w:rPr>
          <w:rtl w:val="0"/>
        </w:rPr>
        <w:t xml:space="preserve">Con esos datos es suficiente, no ocupamos más, pero tampoco nos sirven menos</w:t>
      </w:r>
    </w:p>
    <w:p w:rsidR="00000000" w:rsidDel="00000000" w:rsidP="00000000" w:rsidRDefault="00000000" w:rsidRPr="00000000" w14:paraId="00000033">
      <w:pPr>
        <w:numPr>
          <w:ilvl w:val="1"/>
          <w:numId w:val="2"/>
        </w:numPr>
        <w:ind w:left="1440" w:hanging="360"/>
        <w:jc w:val="both"/>
      </w:pPr>
      <w:r w:rsidDel="00000000" w:rsidR="00000000" w:rsidRPr="00000000">
        <w:rPr>
          <w:rtl w:val="0"/>
        </w:rPr>
        <w:t xml:space="preserve">Banregio:</w:t>
      </w:r>
    </w:p>
    <w:p w:rsidR="00000000" w:rsidDel="00000000" w:rsidP="00000000" w:rsidRDefault="00000000" w:rsidRPr="00000000" w14:paraId="00000034">
      <w:pPr>
        <w:numPr>
          <w:ilvl w:val="2"/>
          <w:numId w:val="2"/>
        </w:numPr>
        <w:ind w:left="2160" w:hanging="360"/>
        <w:jc w:val="both"/>
      </w:pPr>
      <w:r w:rsidDel="00000000" w:rsidR="00000000" w:rsidRPr="00000000">
        <w:rPr>
          <w:rtl w:val="0"/>
        </w:rPr>
        <w:t xml:space="preserve">No se pueden cargar los documentos de la firma</w:t>
      </w:r>
    </w:p>
    <w:p w:rsidR="00000000" w:rsidDel="00000000" w:rsidP="00000000" w:rsidRDefault="00000000" w:rsidRPr="00000000" w14:paraId="00000035">
      <w:pPr>
        <w:numPr>
          <w:ilvl w:val="2"/>
          <w:numId w:val="2"/>
        </w:numPr>
        <w:ind w:left="2160" w:hanging="360"/>
        <w:jc w:val="both"/>
      </w:pPr>
      <w:r w:rsidDel="00000000" w:rsidR="00000000" w:rsidRPr="00000000">
        <w:rPr>
          <w:rtl w:val="0"/>
        </w:rPr>
        <w:t xml:space="preserve">Igual que en Afirme no guarda los datos del monto de crédito ni la fecha de firma:</w:t>
      </w:r>
    </w:p>
    <w:p w:rsidR="00000000" w:rsidDel="00000000" w:rsidP="00000000" w:rsidRDefault="00000000" w:rsidRPr="00000000" w14:paraId="00000036">
      <w:pPr>
        <w:jc w:val="both"/>
        <w:rPr/>
      </w:pPr>
      <w:r w:rsidDel="00000000" w:rsidR="00000000" w:rsidRPr="00000000">
        <w:rPr/>
        <w:drawing>
          <wp:inline distB="114300" distT="114300" distL="114300" distR="114300">
            <wp:extent cx="5943600" cy="2120900"/>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21209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numPr>
          <w:ilvl w:val="1"/>
          <w:numId w:val="2"/>
        </w:numPr>
        <w:ind w:left="1440" w:hanging="360"/>
        <w:jc w:val="both"/>
      </w:pPr>
      <w:r w:rsidDel="00000000" w:rsidR="00000000" w:rsidRPr="00000000">
        <w:rPr>
          <w:rtl w:val="0"/>
        </w:rPr>
        <w:t xml:space="preserve">BX+: Son los mismos dos incisos que Afirme. Finanzas no puede ver el documento que se cargó y no se guarda el monto de crédito ni la fecha de firma</w:t>
      </w:r>
    </w:p>
    <w:p w:rsidR="00000000" w:rsidDel="00000000" w:rsidP="00000000" w:rsidRDefault="00000000" w:rsidRPr="00000000" w14:paraId="00000038">
      <w:pPr>
        <w:ind w:left="1440" w:firstLine="0"/>
        <w:jc w:val="both"/>
        <w:rPr/>
      </w:pPr>
      <w:r w:rsidDel="00000000" w:rsidR="00000000" w:rsidRPr="00000000">
        <w:rPr>
          <w:rtl w:val="0"/>
        </w:rPr>
      </w:r>
    </w:p>
    <w:p w:rsidR="00000000" w:rsidDel="00000000" w:rsidP="00000000" w:rsidRDefault="00000000" w:rsidRPr="00000000" w14:paraId="00000039">
      <w:pPr>
        <w:numPr>
          <w:ilvl w:val="1"/>
          <w:numId w:val="2"/>
        </w:numPr>
        <w:ind w:left="1440" w:hanging="360"/>
        <w:jc w:val="both"/>
      </w:pPr>
      <w:r w:rsidDel="00000000" w:rsidR="00000000" w:rsidRPr="00000000">
        <w:rPr>
          <w:rtl w:val="0"/>
        </w:rPr>
        <w:t xml:space="preserve">Banamex: </w:t>
      </w:r>
    </w:p>
    <w:p w:rsidR="00000000" w:rsidDel="00000000" w:rsidP="00000000" w:rsidRDefault="00000000" w:rsidRPr="00000000" w14:paraId="0000003A">
      <w:pPr>
        <w:numPr>
          <w:ilvl w:val="2"/>
          <w:numId w:val="2"/>
        </w:numPr>
        <w:ind w:left="2160" w:hanging="360"/>
        <w:jc w:val="both"/>
      </w:pPr>
      <w:r w:rsidDel="00000000" w:rsidR="00000000" w:rsidRPr="00000000">
        <w:rPr>
          <w:rtl w:val="0"/>
        </w:rPr>
        <w:t xml:space="preserve">No permite la carga de documentos y “Finanzas” no los puede ver</w:t>
      </w:r>
    </w:p>
    <w:p w:rsidR="00000000" w:rsidDel="00000000" w:rsidP="00000000" w:rsidRDefault="00000000" w:rsidRPr="00000000" w14:paraId="0000003B">
      <w:pPr>
        <w:numPr>
          <w:ilvl w:val="2"/>
          <w:numId w:val="2"/>
        </w:numPr>
        <w:ind w:left="2160" w:hanging="360"/>
        <w:jc w:val="both"/>
      </w:pPr>
      <w:r w:rsidDel="00000000" w:rsidR="00000000" w:rsidRPr="00000000">
        <w:rPr>
          <w:rtl w:val="0"/>
        </w:rPr>
        <w:t xml:space="preserve">No guarda la fecha de firma ni el monto de crédito</w:t>
      </w:r>
    </w:p>
    <w:p w:rsidR="00000000" w:rsidDel="00000000" w:rsidP="00000000" w:rsidRDefault="00000000" w:rsidRPr="00000000" w14:paraId="0000003C">
      <w:pPr>
        <w:numPr>
          <w:ilvl w:val="1"/>
          <w:numId w:val="2"/>
        </w:numPr>
        <w:ind w:left="1440" w:hanging="360"/>
        <w:jc w:val="both"/>
      </w:pPr>
      <w:r w:rsidDel="00000000" w:rsidR="00000000" w:rsidRPr="00000000">
        <w:rPr>
          <w:rtl w:val="0"/>
        </w:rPr>
        <w:t xml:space="preserve">Los demás bancos como HSBC, MIFEl, Santander y Scotiabank, tienen los mismos errores en cuanto a la carga de documentos y el que no se guarda el monto de crédito y la fecha de firma.</w:t>
      </w:r>
    </w:p>
    <w:p w:rsidR="00000000" w:rsidDel="00000000" w:rsidP="00000000" w:rsidRDefault="00000000" w:rsidRPr="00000000" w14:paraId="0000003D">
      <w:pPr>
        <w:numPr>
          <w:ilvl w:val="1"/>
          <w:numId w:val="2"/>
        </w:numPr>
        <w:ind w:left="1440" w:hanging="360"/>
        <w:jc w:val="both"/>
      </w:pPr>
      <w:r w:rsidDel="00000000" w:rsidR="00000000" w:rsidRPr="00000000">
        <w:rPr>
          <w:rtl w:val="0"/>
        </w:rPr>
        <w:t xml:space="preserve">En HIR Casa y Tu Casa Express, debemos agregar en los documentos de firma para enviar a cobro la “Carátula de asesor certificado (AHMEX)</w:t>
      </w:r>
    </w:p>
    <w:p w:rsidR="00000000" w:rsidDel="00000000" w:rsidP="00000000" w:rsidRDefault="00000000" w:rsidRPr="00000000" w14:paraId="0000003E">
      <w:pPr>
        <w:numPr>
          <w:ilvl w:val="0"/>
          <w:numId w:val="2"/>
        </w:numPr>
        <w:ind w:left="720" w:hanging="360"/>
        <w:jc w:val="both"/>
      </w:pPr>
      <w:r w:rsidDel="00000000" w:rsidR="00000000" w:rsidRPr="00000000">
        <w:rPr>
          <w:rtl w:val="0"/>
        </w:rPr>
        <w:t xml:space="preserve">Campus Virtual: Ok.</w:t>
      </w:r>
    </w:p>
    <w:p w:rsidR="00000000" w:rsidDel="00000000" w:rsidP="00000000" w:rsidRDefault="00000000" w:rsidRPr="00000000" w14:paraId="0000003F">
      <w:pPr>
        <w:numPr>
          <w:ilvl w:val="0"/>
          <w:numId w:val="2"/>
        </w:numPr>
        <w:ind w:left="720" w:hanging="360"/>
        <w:jc w:val="both"/>
      </w:pPr>
      <w:r w:rsidDel="00000000" w:rsidR="00000000" w:rsidRPr="00000000">
        <w:rPr>
          <w:rtl w:val="0"/>
        </w:rPr>
        <w:t xml:space="preserve">Promociones: Ok.</w:t>
      </w:r>
    </w:p>
    <w:p w:rsidR="00000000" w:rsidDel="00000000" w:rsidP="00000000" w:rsidRDefault="00000000" w:rsidRPr="00000000" w14:paraId="00000040">
      <w:pPr>
        <w:numPr>
          <w:ilvl w:val="0"/>
          <w:numId w:val="2"/>
        </w:numPr>
        <w:ind w:left="720" w:hanging="360"/>
        <w:jc w:val="both"/>
      </w:pPr>
      <w:r w:rsidDel="00000000" w:rsidR="00000000" w:rsidRPr="00000000">
        <w:rPr>
          <w:rtl w:val="0"/>
        </w:rPr>
        <w:t xml:space="preserve">Calculadora de ingresos: Ok.</w:t>
      </w:r>
    </w:p>
    <w:p w:rsidR="00000000" w:rsidDel="00000000" w:rsidP="00000000" w:rsidRDefault="00000000" w:rsidRPr="00000000" w14:paraId="00000041">
      <w:pPr>
        <w:numPr>
          <w:ilvl w:val="0"/>
          <w:numId w:val="2"/>
        </w:numPr>
        <w:ind w:left="720" w:hanging="360"/>
        <w:jc w:val="both"/>
      </w:pPr>
      <w:r w:rsidDel="00000000" w:rsidR="00000000" w:rsidRPr="00000000">
        <w:rPr>
          <w:rtl w:val="0"/>
        </w:rPr>
        <w:t xml:space="preserve">Calculadora Solidez: Ok.</w:t>
      </w:r>
    </w:p>
    <w:p w:rsidR="00000000" w:rsidDel="00000000" w:rsidP="00000000" w:rsidRDefault="00000000" w:rsidRPr="00000000" w14:paraId="00000042">
      <w:pPr>
        <w:numPr>
          <w:ilvl w:val="0"/>
          <w:numId w:val="2"/>
        </w:numPr>
        <w:ind w:left="720" w:hanging="360"/>
        <w:jc w:val="both"/>
      </w:pPr>
      <w:r w:rsidDel="00000000" w:rsidR="00000000" w:rsidRPr="00000000">
        <w:rPr>
          <w:rtl w:val="0"/>
        </w:rPr>
        <w:t xml:space="preserve">Bitácora de Inducción: Al seleccionar el botón “Agregar” te manda al ejemplo que tienen con el nombre de Toño.</w:t>
      </w:r>
    </w:p>
    <w:p w:rsidR="00000000" w:rsidDel="00000000" w:rsidP="00000000" w:rsidRDefault="00000000" w:rsidRPr="00000000" w14:paraId="00000043">
      <w:pPr>
        <w:ind w:left="720" w:firstLine="0"/>
        <w:jc w:val="both"/>
        <w:rPr/>
      </w:pPr>
      <w:r w:rsidDel="00000000" w:rsidR="00000000" w:rsidRPr="00000000">
        <w:rPr>
          <w:rtl w:val="0"/>
        </w:rPr>
      </w:r>
    </w:p>
    <w:sectPr>
      <w:type w:val="nextPage"/>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